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Default Extension="png" ContentType="image/png"/>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webSettings.xml" ContentType="application/vnd.openxmlformats-officedocument.wordprocessingml.webSetting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w:body>
    <w:tbl>
      <w:tblPr>
        <w:tblStyle w:val="TableStyle0"/>
        <w:tblW w:w="0" w:type="auto"/>
        <w:tblLayout w:type="fixed"/>
        <w:tblLook w:val="04A0"/>
      </w:tblPr>
      <w:tblGrid>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gridCol w:w="289"/>
      </w:tblGrid>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Техническое задание по Лоту №1</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По открытому запросу предложений  № 156 134</w:t>
            </w:r>
          </w:p>
        </w:tc>
      </w:tr>
      <w:tr>
        <w:trPr>
          <w:trHeight w:val="375" w:hRule="atLeast"/>
        </w:trPr>
        <w:tc>
          <w:tcPr>
            <w:tcW w:w="14450" w:type="dxa"/>
            <w:gridSpan w:val="50"/>
            <w:shd w:val="clear" w:color="FFFFFF" w:fill="auto"/>
            <w:textDirection w:val="lrTb"/>
            <w:vAlign w:val="bottom"/>
          </w:tcPr>
          <w:p>
            <w:pPr>
              <w:jc w:val="center"/>
            </w:pPr>
            <w:r>
              <w:rPr>
                <w:rFonts w:ascii="Times New Roman" w:hAnsi="Times New Roman"/>
                <w:b/>
                <w:sz w:val="28"/>
                <w:szCs w:val="28"/>
              </w:rPr>
              <w:t>Для нужд: АО "Газпром газораспределение Белгород"</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289" w:type="dxa"/>
            <w:shd w:val="clear" w:color="FFFFFF" w:fill="auto"/>
            <w:textDirection w:val="lrTb"/>
            <w:vAlign w:val="top"/>
          </w:tcPr>
          <w:p>
            <w:pPr>
              <w:wordWrap w:val="1"/>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r>
      <w:tr>
        <w:trPr>
          <w:trHeight w:val="300" w:hRule="atLeast"/>
        </w:trPr>
        <w:tc>
          <w:tcPr>
            <w:tcW w:w="578" w:type="dxa"/>
            <w:vMerge w:val="restart"/>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1.</w:t>
            </w:r>
          </w:p>
        </w:tc>
        <w:tc>
          <w:tcPr>
            <w:tcW w:w="8381" w:type="dxa"/>
            <w:vMerge w:val="restart"/>
            <w:gridSpan w:val="29"/>
            <w:shd w:val="clear" w:color="FFFFFF" w:fill="auto"/>
            <w:textDirection w:val="lrTb"/>
            <w:vAlign w:val="center"/>
            <w:tcBorders>
              <w:top w:val="single" w:sz="5" w:space="0" w:color="auto"/>
              <w:left w:val="single" w:sz="5" w:space="0" w:color="auto"/>
              <w:bottom w:val="single" w:sz="5" w:space="0" w:color="auto"/>
            </w:tcBorders>
          </w:tcPr>
          <w:p>
            <w:pPr>
              <w:jc w:val="left"/>
            </w:pPr>
            <w:r>
              <w:rPr>
                <w:rFonts w:ascii="Times New Roman" w:hAnsi="Times New Roman"/>
                <w:b/>
                <w:sz w:val="22"/>
                <w:szCs w:val="22"/>
              </w:rPr>
              <w:t>Предмет закупки.</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ОКДП</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ОКВЭД</w:t>
            </w:r>
          </w:p>
        </w:tc>
      </w:tr>
      <w:tr>
        <w:trPr>
          <w:trHeight w:val="300" w:hRule="atLeast"/>
        </w:trPr>
        <w:tc>
          <w:tcPr>
            <w:tcW w:w="578" w:type="dxa"/>
            <w:vMerge w:val="continue"/>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1.</w:t>
            </w:r>
          </w:p>
        </w:tc>
        <w:tc>
          <w:tcPr>
            <w:tcW w:w="8381" w:type="dxa"/>
            <w:vMerge w:val="continue"/>
            <w:gridSpan w:val="29"/>
            <w:shd w:val="clear" w:color="FFFFFF" w:fill="auto"/>
            <w:textDirection w:val="lrTb"/>
            <w:vAlign w:val="center"/>
            <w:tcBorders>
              <w:top w:val="single" w:sz="5" w:space="0" w:color="auto"/>
              <w:left w:val="single" w:sz="5" w:space="0" w:color="auto"/>
              <w:bottom w:val="single" w:sz="5" w:space="0" w:color="auto"/>
            </w:tcBorders>
          </w:tcPr>
          <w:p>
            <w:pPr>
              <w:jc w:val="left"/>
            </w:pPr>
            <w:r>
              <w:rPr>
                <w:rFonts w:ascii="Times New Roman" w:hAnsi="Times New Roman"/>
                <w:b/>
                <w:sz w:val="22"/>
                <w:szCs w:val="22"/>
              </w:rPr>
              <w:t>Предмет закупки.</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w:t>
              <w:br/>
              <w:t>
п/п</w:t>
            </w:r>
          </w:p>
        </w:tc>
        <w:tc>
          <w:tcPr>
            <w:tcW w:w="5202" w:type="dxa"/>
            <w:gridSpan w:val="18"/>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0"/>
                <w:szCs w:val="20"/>
              </w:rPr>
              <w:t>Наименование предмета закупки</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sz w:val="20"/>
                <w:szCs w:val="20"/>
              </w:rPr>
              <w:t>Ед.</w:t>
              <w:br/>
              <w:t>
изм.</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Колич</w:t>
              <w:br/>
              <w:t>
ество</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Допустимость аналога</w:t>
            </w:r>
          </w:p>
        </w:tc>
        <w:tc>
          <w:tcPr>
            <w:tcW w:w="2890" w:type="dxa"/>
            <w:gridSpan w:val="10"/>
            <w:shd w:val="clear" w:color="FFFFFF" w:fill="auto"/>
            <w:textDirection w:val="lrTb"/>
            <w:vAlign w:val="center"/>
            <w:tcBorders>
              <w:top w:val="single" w:sz="5" w:space="0" w:color="auto"/>
              <w:left w:val="single" w:sz="5" w:space="0" w:color="auto"/>
            </w:tcBorders>
          </w:tcPr>
          <w:p>
            <w:pPr>
              <w:jc w:val="center"/>
            </w:pPr>
            <w:r>
              <w:rPr>
                <w:rFonts w:ascii="Times New Roman" w:hAnsi="Times New Roman"/>
                <w:sz w:val="20"/>
                <w:szCs w:val="20"/>
              </w:rPr>
              <w:t>Грузополучатель</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Место (адрес) поставки товара</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1</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Кран шаровый п/э, 1/4 оборота, неполный проход, КНP ПЭ100 SDR11 d110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36,000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Шаровой кран SDR 11 из ПЭ 100 на 1 / 4 оборота. Патрубки и привод шарового крана изготовлены из ПЭ-ВП. Удлиненные патрубки длинной не менее 178 мм рассчитаны не менее, чем на две сварки. Длина шарового крана не менее 545 мм. Высота шарового крана не более 245 мм. Вес не более 4900 кг. Толщина стенки патрубков не менее 43 мм. Крутящий момент не более 17 Нм. Патрубки вварены в корпус методом раструбной сварки. Поворотный механизм защищен специальной герметичной насадкой из полипропилена для защиты поворотного механизма от механического воздействия, от попадания в корпус крана влаги, пыли и грунта, а также для защиты от поломки поворотного механизма шарового крана при случайном повреждении штока. Наличие уплотнительного кольца, установленного между насадкой и корпусом для повышения уровня герметичности. Наружный квадрат SW1 размером не более чем 50х50 мм, внутренний квадрат SW2 размером не более чем 25 мм. При присоединении управляющей телескопической штанги с поворотным механизмом, колба должна полностью защищать его от механических воздействий и загрязнения. Предусмотрены упоры для предотвращения поворота шара более чем на 90°.В конструкции шаровых кранов d50-d225 предусмотрен специальный защитный бортик для предотвращения механического воздействия грунта на поворотный механизм. газовый</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2</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Кран шаровый п/э, 1/4 оборота, неполный проход, КНP ПЭ100 SDR11 d40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4,000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Шаровой кран SDR 11 из ПЭ 100 на 1 / 4 оборота. Патрубки и привод шарового крана изготовлены из ПЭ-ВП. Удлиненные патрубки длинной не менее 107 мм рассчитаны не менее, чем на две сварки. Длина шарового крана не менее 310 мм. Высота шарового крана не более 129 мм. Вес не более  0,580 кг. Толщина стенки патрубков не менее 16 мм. Крутящий момент не более 8 Нм. Патрубки вварены в корпус методом раструбной сварки. Поворотный механизм защищен специальной герметичной насадкой из полипропилена для защиты поворотного механизма от механического воздействия, от попадания в корпус крана влаги, пыли и грунта, а также для защиты от поломки поворотного механизма шарового крана при случайном повреждении штока. Наличие уплотнительного кольца, установленного между насадкой и корпусом для повышения уровня герметичности. Наружный квадрат SW1 размером не более чем 50х50 мм, внутренний квадрат SW2 размером не более чем 19мм. При присоединении управляющей телескопической штанги с поворотным механизмом, колба должна полностью защищать его от механических воздействий и загрязнения. Предусмотрены упоры для предотвращения поворота шара более чем на 90°.В конструкции шаровых кранов d50-d225 предусмотрен специальный защитный бортик для предотвращения механического воздействия грунта на поворотный механизм. газовый</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3</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Кран шаровый п/э, 1/4 оборота, неполный проход, КНP ПЭ100 SDR11 d63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73,000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Шаровой кран SDR 11 из ПЭ 100 на 1 / 4 оборота. Патрубки и привод шарового крана изготовлены из ПЭ-ВП. Удлиненные патрубки длинной не менее  125 мм рассчитаны не менее, чем на две сварки. Длина шарового крана не менее 125 мм. Высота шарового крана не более 125 мм. Вес не более  2,330 кг. Толщина стенки патрубков не менее 20 мм. Крутящий момент не более 10 Нм. Патрубки вварены в корпус методом раструбной сварки. Поворотный механизм защищен специальной герметичной насадкой из полипропилена для защиты поворотного механизма от механического воздействия, от попадания в корпус крана влаги, пыли и грунта, а также для защиты от поломки поворотного механизма шарового крана при случайном повреждении штока. Наличие уплотнительного кольца, установленного между насадкой и корпусом для повышения уровня герметичности. Наружный квадрат SW1 размером не более чем 50х50 мм, внутренний квадрат SW2 размером не более чем 25 мм. При присоединении управляющей телескопической штанги с поворотным механизмом, колба должна полностью защищать его от механических воздействий и загрязнения. Предусмотрены упоры для предотвращения поворота шара более чем на 90°.В конструкции шаровых кранов d50-d225 предусмотрен специальный защитный бортик для предотвращения механического воздействия грунта на поворотный механизм. Газовый.</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4</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Кран шаровый полиэтиленовый Frialen ПЭ100 SDR11 ДУ110 полный проход</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9,000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Шаровой кран SDR 11 из ПЭ 100 на 1 / 4 оборота, с условным проходом, соответствующим внутреннему диаметру подсоединяемой трубы. Патрубки и привод шарового крана изготовлены из ПЭ-ВП. Длина шарового крана не менее 576 мм. Высота шарового крана не более 291 мм. Вес не более 5,100кг. Толщина стенки патрубков не менее 9 мм. Крутящий момент при открытии/закрытии не более 10 Нм. Патрубки вварены в корпус методом раструбной сварки. Поворотный механизм защищен специальной герметичной насадкой из полипропилена для защиты поворотного механизма от механического воздействия, от попадания в корпус крана влаги, пыли и грунта, а также для защиты от поломки поворотного механизма шарового крана при случайном повреждении штока. Наличие уплотнительного кольца, установленного между насадкой и корпусом для повышения уровня герметичности. Наружный квадрат SW1 размером не более чем 50х50 мм, внутренний квадрат SW2 размером не более чем 25 мм. При присоединении управляющей телескопической штанги с поворотным механизмом, колба должна полностью защищать его от механических воздействий и загрязнения. Предусмотрены упоры для предотвращения поворота шара более чем на 90°. В конструкции шаровых кранов d50-d125 предусмотрен специальный защитный бортик для предотвращения механического воздействия грунта на поворотный механизм.</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5</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Кран шаровый полиэтиленовый Frialen ПЭ100 SDR11 ДУ32 полный проход</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16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Шаровой кран SDR 11 из ПЭ 100 на 1 / 4 оборота, с условным проходом, соответствующим внутреннему диаметру подсоединяемой трубы. Патрубки и привод шарового крана изготовлены из ПЭ-ВП. Длина шарового крана не менее 324 мм. Высота шарового крана не более 153 мм. Вес не более 0,650кг. Толщина стенки патрубков не менее 9 мм. Крутящий момент при открытии/закрытии не более 10 Нм. Патрубки вварены в корпус методом раструбной сварки. Поворотный механизм защищен специальной герметичной насадкой из полипропилена для защиты поворотного механизма от механического воздействия, от попадания в корпус крана влаги, пыли и грунта, а также для защиты от поломки поворотного механизма шарового крана при случайном повреждении штока. Наличие уплотнительного кольца, установленного между насадкой и корпусом для повышения уровня герметичности. Наружный квадрат SW1 размером не более чем 50х50 мм, внутренний квадрат SW2 размером не более чем 19мм. При присоединении управляющей телескопической штанги с поворотным механизмом, колба должна полностью защищать его от механических воздействий и загрязнения. Предусмотрены упоры для предотвращения поворота шара более чем на 90°. В конструкции шаровых кранов d50-d125 предусмотрен специальный защитный бортик для предотвращения механического воздействия грунта на поворотный механизм.</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6</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Кран шаровый полиэтиленовый Frialen ПЭ100 SDR11 ДУ40 полный проход</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36,000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4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Шаровой кран SDR 11 из ПЭ 100 на 1 / 4 оборота, с условным проходом, соответствующим внутреннему диаметру подсоединяемой трубы. Патрубки и привод шарового крана изготовлены из ПЭ-ВП. Удлиненные патрубки длинной не менее 109 мм рассчитаны не менее, чем на две сварки. Длина шарового крана не менее 324 мм. Высота шарового крана не более 156 мм. Вес не более 0,780 кг. Толщина стенки патрубков не менее 9 мм. Крутящий момент при открытии/закрытии не более 10 Нм. Патрубки вварены в корпус методом раструбной сварки. Поворотный механизм защищен специальной герметичной насадкой из полипропилена для защиты поворотного механизма от механического воздействия, от попадания в корпус крана влаги, пыли и грунта, а также для защиты от поломки поворотного механизма шарового крана при случайном повреждении штока. Наличие уплотнительного кольца, установленного между насадкой и корпусом для повышения уровня герметичности. Наружный квадрат SW1 размером не более чем 50х50 мм, внутренний квадрат SW2 размером не более чем 19мм. При присоединении управляющей телескопической штанги с поворотным механизмом, колба должна полностью защищать его от механических воздействий и загрязнения. Предусмотрены упоры для предотвращения поворота шара более чем на 90°. В конструкции шаровых кранов d50-d125 предусмотрен специальный защитный бортик для предотвращения механического воздействия грунта на поворотный механизм.</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7</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Кран шаровый полиэтиленовый Frialen ПЭ100 SDR11 ДУ63 полный проход</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15,000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2400"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Шаровой кран SDR 11 из ПЭ 100 на 1 / 4 оборота, с условным проходом, соответствующим внутреннему диаметру подсоединяемой трубы. Патрубки и привод шарового крана изготовлены из ПЭ-ВП. Удлиненные патрубки длинной не менее 180 мм рассчитаны не менее, чем на две сварки. Длина шарового крана не менее 574 мм. Высота шарового крана не более 288 мм. Вес не более 6740 кг. Толщина стенки патрубков не менее 23 мм. Крутящий момент при открытии/закрытии не более 30 Нм. Патрубки вварены в корпус методом раструбной сварки. Поворотный механизм защищен специальной герметичной насадкой из полипропилена для защиты поворотного механизма от механического воздействия, от попадания в корпус крана влаги, пыли и грунта, а также для защиты от поломки поворотного механизма шарового крана при случайном повреждении штока. Наличие уплотнительного кольца, установленного между насадкой и корпусом для повышения уровня герметичности. Наружный квадрат SW1 размером не более чем 50х50 мм, внутренний квадрат SW2 размером не более чем 25 мм. При присоединении управляющей телескопической штанги с поворотным механизмом, колба должна полностью защищать его от механических воздействий и загрязнения. Предусмотрены упоры для предотвращения поворота шара более чем на 90°. В конструкции шаровых кранов d50-d125 предусмотрен специальный защитный бортик для предотвращения механического воздействия грунта на поворотный механизм.</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8</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Удлинитель телескопический BS для шаровых полиэтиленовых кранов L1.2-2м d32-50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50,000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Монтажный набор – телескопический удлинитель для шаровых кранов KH, KHP  и арматуры AKHP. Телескопическая приводная штанга с диапазоном глубины заложения (расстояние от верхнего уровня распределительного газопровода до нижнего края ковера)  1.20-2.0  для шаровых кранов. Штанга имеет бесступенчатую установку по высоте и в смонтированном состоянии. Материал штока горячеоцинкованная гальванизированная сталь. Защитный чехол – ПЭ. Конструктивно предусмотрено предохранение от самопроизвольного и избыточного выдвижения. Штанга самофиксирующаяся при любом положении вытяжения.</w:t>
            </w:r>
          </w:p>
        </w:tc>
      </w:tr>
      <w:tr>
        <w:trPr>
          <w:trHeight w:val="735" w:hRule="atLeast"/>
        </w:trPr>
        <w:tc>
          <w:tcPr>
            <w:tcW w:w="578" w:type="dxa"/>
            <w:gridSpan w:val="2"/>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9</w:t>
            </w:r>
          </w:p>
        </w:tc>
        <w:tc>
          <w:tcPr>
            <w:tcW w:w="5202" w:type="dxa"/>
            <w:gridSpan w:val="18"/>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Удлинитель телескопический BS для шаровых полиэтиленовых кранов L1.2-2м d63-225 Frialen</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Штука</w:t>
            </w:r>
          </w:p>
        </w:tc>
        <w:tc>
          <w:tcPr>
            <w:tcW w:w="1156" w:type="dxa"/>
            <w:gridSpan w:val="4"/>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0"/>
                <w:szCs w:val="20"/>
              </w:rPr>
              <w:t>132,000</w:t>
            </w:r>
          </w:p>
        </w:tc>
        <w:tc>
          <w:tcPr>
            <w:tcW w:w="867" w:type="dxa"/>
            <w:gridSpan w:val="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0"/>
                <w:szCs w:val="20"/>
              </w:rPr>
              <w:t>Нет</w:t>
            </w:r>
          </w:p>
        </w:tc>
        <w:tc>
          <w:tcPr>
            <w:tcW w:w="2890" w:type="dxa"/>
            <w:gridSpan w:val="10"/>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АО "Газпром газораспределение Белгород"</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0"/>
                <w:szCs w:val="20"/>
              </w:rPr>
              <w:t>308017, г. Белгород, ул. Разуменская, 1 (Территория  базы ГНС)</w:t>
            </w:r>
          </w:p>
        </w:tc>
      </w:tr>
      <w:tr>
        <w:trPr>
          <w:trHeight w:val="975" w:hRule="atLeast"/>
        </w:trPr>
        <w:tc>
          <w:tcPr>
            <w:tcW w:w="1445" w:type="dxa"/>
            <w:gridSpan w:val="5"/>
            <w:shd w:val="clear" w:color="FFFFFF" w:fill="auto"/>
            <w:textDirection w:val="lrTb"/>
            <w:vAlign w:val="top"/>
            <w:tcBorders>
              <w:top w:val="single" w:sz="5" w:space="0" w:color="auto"/>
              <w:left w:val="single" w:sz="5" w:space="0" w:color="auto"/>
              <w:right w:val="single" w:sz="5" w:space="0" w:color="auto"/>
            </w:tcBorders>
          </w:tcPr>
          <w:p>
            <w:pPr>
              <w:wordWrap w:val="1"/>
              <w:jc w:val="center"/>
            </w:pPr>
            <w:r>
              <w:rPr>
                <w:rFonts w:ascii="Times New Roman" w:hAnsi="Times New Roman"/>
                <w:sz w:val="20"/>
                <w:szCs w:val="20"/>
              </w:rPr>
              <w:t>Технические характеристики предмета закупки</w:t>
            </w:r>
          </w:p>
        </w:tc>
        <w:tc>
          <w:tcPr>
            <w:tcW w:w="13005" w:type="dxa"/>
            <w:gridSpan w:val="45"/>
            <w:shd w:val="clear" w:color="FFFFFF" w:fill="auto"/>
            <w:textDirection w:val="lrTb"/>
            <w:vAlign w:val="center"/>
            <w:tcBorders>
              <w:top w:val="single" w:sz="5" w:space="0" w:color="auto"/>
              <w:left w:val="single" w:sz="5" w:space="0" w:color="auto"/>
              <w:right w:val="single" w:sz="5" w:space="0" w:color="auto"/>
            </w:tcBorders>
          </w:tcPr>
          <w:p>
            <w:pPr>
              <w:ind w:left="20"/>
              <w:wordWrap w:val="1"/>
              <w:jc w:val="left"/>
            </w:pPr>
            <w:r>
              <w:rPr>
                <w:rFonts w:ascii="Times New Roman" w:hAnsi="Times New Roman"/>
                <w:sz w:val="18"/>
                <w:szCs w:val="18"/>
              </w:rPr>
              <w:t>Монтажный набор – телескопический удлинитель для шаровых кранов KH, KHP  и арматуры AKHP. Телескопическая приводная штанга с диапазоном глубины заложения (расстояние от верхнего уровня распределительного газопровода до нижнего края ковера)  1.20-2.0  для шаровых кранов. Штанга имеет бесступенчатую установку по высоте и в смонтированном состоянии. Материал штока горячеоцинкованная гальванизированная сталь. Защитный чехол – ПЭ. Конструктивно предусмотрено предохранение от самопроизвольного и избыточного выдвижения. Штанга самофиксирующаяся при любом положении вытяжения.</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2.</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Условия поставки товаров</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Грузополучатель</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sz w:val="22"/>
                <w:szCs w:val="22"/>
              </w:rPr>
              <w:t>АО "Газпром газораспределение Белгород"</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Место (адрес) поставки товаров</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308017, г. Белгород, ул. Разуменская, 1 (Территория  базы ГНС)</w:t>
            </w:r>
          </w:p>
        </w:tc>
      </w:tr>
      <w:tr>
        <w:trPr>
          <w:trHeight w:val="300" w:hRule="atLeast"/>
        </w:trPr>
        <w:tc>
          <w:tcPr>
            <w:tcW w:w="4335" w:type="dxa"/>
            <w:gridSpan w:val="15"/>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sz w:val="22"/>
                <w:szCs w:val="22"/>
              </w:rPr>
              <w:t>Срок (период) поставки товаров</w:t>
            </w:r>
          </w:p>
        </w:tc>
        <w:tc>
          <w:tcPr>
            <w:tcW w:w="10115" w:type="dxa"/>
            <w:gridSpan w:val="35"/>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От 45 до 60 календарных дней с даты заключения договора</w:t>
            </w:r>
          </w:p>
        </w:tc>
      </w:tr>
      <w:tr>
        <w:trPr>
          <w:trHeight w:val="300" w:hRule="atLeast"/>
        </w:trPr>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jc w:val="left"/>
            </w:pPr>
            <w:r>
              <w:rPr>
                <w:rFonts w:ascii="Times New Roman" w:hAnsi="Times New Roman"/>
                <w:sz w:val="22"/>
                <w:szCs w:val="22"/>
              </w:rPr>
              <w:t/>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c>
          <w:tcPr>
            <w:tcW w:w="289" w:type="dxa"/>
            <w:shd w:val="clear" w:color="FFFFFF" w:fill="auto"/>
            <w:textDirection w:val="lrTb"/>
            <w:vAlign w:val="bottom"/>
          </w:tcPr>
          <w:p>
            <w:pPr/>
            <w:r>
              <w:rPr>
                <w:rFonts w:ascii="Times New Roman" w:hAnsi="Times New Roman"/>
                <w:sz w:val="22"/>
                <w:szCs w:val="22"/>
              </w:rPr>
            </w:r>
          </w:p>
        </w:tc>
      </w:tr>
      <w:tr>
        <w:trPr>
          <w:trHeight w:val="300" w:hRule="atLeast"/>
        </w:trPr>
        <w:tc>
          <w:tcPr>
            <w:tcW w:w="578" w:type="dxa"/>
            <w:gridSpan w:val="2"/>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center"/>
            </w:pPr>
            <w:r>
              <w:rPr>
                <w:rFonts w:ascii="Times New Roman" w:hAnsi="Times New Roman"/>
                <w:b/>
                <w:sz w:val="22"/>
                <w:szCs w:val="22"/>
              </w:rPr>
              <w:t>3.</w:t>
            </w:r>
          </w:p>
        </w:tc>
        <w:tc>
          <w:tcPr>
            <w:tcW w:w="13872" w:type="dxa"/>
            <w:gridSpan w:val="48"/>
            <w:shd w:val="clear" w:color="FFFFFF" w:fill="auto"/>
            <w:textDirection w:val="lrTb"/>
            <w:vAlign w:val="bottom"/>
            <w:tcBorders>
              <w:top w:val="single" w:sz="5" w:space="0" w:color="auto"/>
              <w:left w:val="single" w:sz="5" w:space="0" w:color="auto"/>
              <w:bottom w:val="single" w:sz="5" w:space="0" w:color="auto"/>
              <w:right w:val="single" w:sz="5" w:space="0" w:color="auto"/>
            </w:tcBorders>
          </w:tcPr>
          <w:p>
            <w:pPr>
              <w:jc w:val="left"/>
            </w:pPr>
            <w:r>
              <w:rPr>
                <w:rFonts w:ascii="Times New Roman" w:hAnsi="Times New Roman"/>
                <w:b/>
                <w:sz w:val="22"/>
                <w:szCs w:val="22"/>
              </w:rPr>
              <w:t>Условия проведения закупочной процедуры.</w:t>
            </w:r>
          </w:p>
        </w:tc>
      </w:tr>
      <w:tr>
        <w:trPr>
          <w:trHeight w:val="84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Начальная (максимальная)  цена предмета закупки для участников, не освобожденных от уплаты НДС (с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4 032 505,05</w:t>
            </w:r>
          </w:p>
        </w:tc>
        <w:tc>
          <w:tcPr>
            <w:tcW w:w="2312" w:type="dxa"/>
            <w:vMerge w:val="restart"/>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restart"/>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w:t>
            </w:r>
          </w:p>
        </w:tc>
      </w:tr>
      <w:tr>
        <w:trPr>
          <w:trHeight w:val="30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В том числе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615 127,89</w:t>
            </w:r>
          </w:p>
        </w:tc>
        <w:tc>
          <w:tcPr>
            <w:tcW w:w="2312" w:type="dxa"/>
            <w:vMerge w:val="continue"/>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continue"/>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w:t>
            </w:r>
          </w:p>
        </w:tc>
      </w:tr>
      <w:tr>
        <w:trPr>
          <w:trHeight w:val="1380" w:hRule="atLeast"/>
        </w:trPr>
        <w:tc>
          <w:tcPr>
            <w:tcW w:w="4624" w:type="dxa"/>
            <w:gridSpan w:val="16"/>
            <w:shd w:val="clear" w:color="FFFFFF" w:fill="auto"/>
            <w:textDirection w:val="lrTb"/>
            <w:vAlign w:val="center"/>
            <w:tcBorders>
              <w:top w:val="single" w:sz="5" w:space="0" w:color="auto"/>
              <w:left w:val="single" w:sz="5" w:space="0" w:color="auto"/>
            </w:tcBorders>
          </w:tcPr>
          <w:p>
            <w:pPr>
              <w:wordWrap w:val="1"/>
              <w:jc w:val="left"/>
            </w:pPr>
            <w:r>
              <w:rPr>
                <w:rFonts w:ascii="Times New Roman" w:hAnsi="Times New Roman"/>
                <w:sz w:val="22"/>
                <w:szCs w:val="22"/>
              </w:rPr>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рублей</w:t>
            </w:r>
          </w:p>
        </w:tc>
        <w:tc>
          <w:tcPr>
            <w:tcW w:w="2601" w:type="dxa"/>
            <w:gridSpan w:val="9"/>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center"/>
            </w:pPr>
            <w:r>
              <w:rPr>
                <w:rFonts w:ascii="Times New Roman" w:hAnsi="Times New Roman"/>
                <w:sz w:val="22"/>
                <w:szCs w:val="22"/>
              </w:rPr>
              <w:t>3 417 377,16</w:t>
            </w:r>
          </w:p>
        </w:tc>
        <w:tc>
          <w:tcPr>
            <w:tcW w:w="2312" w:type="dxa"/>
            <w:vMerge w:val="continue"/>
            <w:gridSpan w:val="8"/>
            <w:shd w:val="clear" w:color="FFFFFF" w:fill="auto"/>
            <w:textDirection w:val="lrTb"/>
            <w:vAlign w:val="center"/>
            <w:tcBorders>
              <w:top w:val="single" w:sz="5" w:space="0" w:color="auto"/>
            </w:tcBorders>
          </w:tcPr>
          <w:p>
            <w:pPr>
              <w:jc w:val="center"/>
            </w:pPr>
            <w:r>
              <w:rPr>
                <w:rFonts w:ascii="Times New Roman" w:hAnsi="Times New Roman"/>
                <w:sz w:val="22"/>
                <w:szCs w:val="22"/>
              </w:rPr>
              <w:t>Способ закупки</w:t>
            </w:r>
          </w:p>
        </w:tc>
        <w:tc>
          <w:tcPr>
            <w:tcW w:w="4913" w:type="dxa"/>
            <w:vMerge w:val="continue"/>
            <w:gridSpan w:val="17"/>
            <w:shd w:val="clear" w:color="FFFFFF" w:fill="auto"/>
            <w:textDirection w:val="lrTb"/>
            <w:vAlign w:val="center"/>
            <w:tcBorders>
              <w:top w:val="single" w:sz="5" w:space="0" w:color="auto"/>
              <w:left w:val="single" w:sz="5" w:space="0" w:color="auto"/>
            </w:tcBorders>
          </w:tcPr>
          <w:p>
            <w:pPr>
              <w:wordWrap w:val="1"/>
              <w:jc w:val="center"/>
            </w:pPr>
            <w:r>
              <w:rPr>
                <w:rFonts w:ascii="Times New Roman" w:hAnsi="Times New Roman"/>
                <w:sz w:val="22"/>
                <w:szCs w:val="22"/>
              </w:rPr>
              <w:t>Открытый запрос предложений</w:t>
            </w:r>
          </w:p>
        </w:tc>
      </w:tr>
      <w:tr>
        <w:trPr>
          <w:trHeight w:val="840" w:hRule="atLeast"/>
        </w:trPr>
        <w:tc>
          <w:tcPr>
            <w:tcW w:w="6647" w:type="dxa"/>
            <w:gridSpan w:val="23"/>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right"/>
            </w:pPr>
            <w:r>
              <w:rPr>
                <w:rFonts w:ascii="Times New Roman" w:hAnsi="Times New Roman"/>
                <w:b/>
                <w:sz w:val="22"/>
                <w:szCs w:val="22"/>
              </w:rPr>
              <w:t>Обязательное требование к условиям оплаты товара </w:t>
            </w:r>
          </w:p>
        </w:tc>
        <w:tc>
          <w:tcPr>
            <w:tcW w:w="7803" w:type="dxa"/>
            <w:gridSpan w:val="27"/>
            <w:shd w:val="clear" w:color="FFFFFF" w:fill="auto"/>
            <w:textDirection w:val="lrTb"/>
            <w:vAlign w:val="center"/>
            <w:tcBorders>
              <w:top w:val="single" w:sz="5" w:space="0" w:color="auto"/>
              <w:left w:val="single" w:sz="5" w:space="0" w:color="auto"/>
              <w:bottom w:val="single" w:sz="5" w:space="0" w:color="auto"/>
              <w:right w:val="single" w:sz="5" w:space="0" w:color="auto"/>
            </w:tcBorders>
          </w:tcPr>
          <w:p>
            <w:pPr>
              <w:wordWrap w:val="1"/>
              <w:jc w:val="left"/>
            </w:pPr>
            <w:r>
              <w:rPr>
                <w:rFonts w:ascii="Times New Roman" w:hAnsi="Times New Roman"/>
                <w:sz w:val="22"/>
                <w:szCs w:val="22"/>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bl>
    <w:sectPr>
      <w:pgSz w:w="16839" w:h="11907" w:orient="landscape"/>
      <w:pgMar w:top="567" w:right="567" w:bottom="567" w:left="567"/>
    </w:sectPr>
  </w:body>
</w:document>
</file>

<file path=word/settings.xml><?xml version="1.0" encoding="utf-8"?>
<w:settings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view w:val="web"/>
  <w:zoom w:percent="100"/>
</w:settings>
</file>

<file path=word/styles.xml><?xml version="1.0" encoding="utf-8"?>
<w:styles xmlns:r="http://schemas.openxmlformats.org/officeDocument/2006/relationships" xmlns:w="http://schemas.openxmlformats.org/wordprocessingml/2006/main">
  <w:style w:type="table" w:styleId="TableStyle0">
    <w:name w:val="TableStyle0"/>
    <w:pPr>
      <w:spacing w:after="0" w:line="240" w:lineRule="auto"/>
    </w:pPr>
    <w:rPr>
      <w:rFonts w:ascii="Arial" w:hAnsi="Arial"/>
      <w:sz w:val="16"/>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8" Type="http://schemas.openxmlformats.org/officeDocument/2006/relationships/header" Target="header1.xml"/>
	<Relationship Id="rId9" Type="http://schemas.openxmlformats.org/officeDocument/2006/relationships/footer" Target="footer1.xml"/>
	<Relationship Id="rId10" Type="http://schemas.openxmlformats.org/officeDocument/2006/relationships/header" Target="header2.xml"/>
	<Relationship Id="rId11" Type="http://schemas.openxmlformats.org/officeDocument/2006/relationships/footer" Target="footer2.xml"/>
</Relationships>
</file>